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firstLine="562" w:firstLineChars="200"/>
        <w:jc w:val="center"/>
        <w:rPr>
          <w:rStyle w:val="11"/>
          <w:rFonts w:hint="eastAsia"/>
          <w:sz w:val="28"/>
          <w:szCs w:val="28"/>
          <w:lang w:val="en-US" w:eastAsia="zh-CN"/>
        </w:rPr>
      </w:pPr>
      <w:r>
        <w:rPr>
          <w:rStyle w:val="11"/>
          <w:rFonts w:hint="eastAsia"/>
          <w:sz w:val="28"/>
          <w:szCs w:val="28"/>
          <w:lang w:val="en-US" w:eastAsia="zh-CN"/>
        </w:rPr>
        <w:t>明思系统用户端操作手册</w:t>
      </w:r>
    </w:p>
    <w:p>
      <w:pPr>
        <w:pStyle w:val="4"/>
        <w:bidi w:val="0"/>
        <w:ind w:firstLine="0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color w:val="auto"/>
          <w:sz w:val="28"/>
          <w:szCs w:val="28"/>
          <w:u w:val="non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打开会员登录页面：</w:t>
      </w:r>
      <w:r>
        <w:rPr>
          <w:rFonts w:hint="eastAsia"/>
          <w:color w:val="auto"/>
          <w:sz w:val="28"/>
          <w:szCs w:val="28"/>
          <w:u w:val="none"/>
          <w:lang w:val="en-US" w:eastAsia="zh-CN"/>
        </w:rPr>
        <w:t>http://webuser.jiyunsys.com/login，点击登录会员，输入账号密码后，点击</w:t>
      </w:r>
      <w:r>
        <w:rPr>
          <w:color w:val="auto"/>
          <w:sz w:val="28"/>
          <w:szCs w:val="28"/>
          <w:u w:val="none"/>
        </w:rPr>
        <w:drawing>
          <wp:inline distT="0" distB="0" distL="114300" distR="114300">
            <wp:extent cx="966470" cy="159385"/>
            <wp:effectExtent l="0" t="0" r="5080" b="12065"/>
            <wp:docPr id="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8"/>
          <w:szCs w:val="28"/>
          <w:u w:val="none"/>
          <w:lang w:val="en-US" w:eastAsia="zh-CN"/>
        </w:rPr>
        <w:t>登录会员中心。</w:t>
      </w:r>
    </w:p>
    <w:p>
      <w:pPr>
        <w:numPr>
          <w:ilvl w:val="0"/>
          <w:numId w:val="0"/>
        </w:numPr>
        <w:ind w:firstLine="560" w:firstLineChars="200"/>
        <w:rPr>
          <w:rFonts w:hint="default"/>
          <w:color w:val="auto"/>
          <w:sz w:val="28"/>
          <w:szCs w:val="28"/>
          <w:u w:val="none"/>
          <w:lang w:val="en-US" w:eastAsia="zh-CN"/>
        </w:rPr>
      </w:pPr>
      <w:r>
        <w:rPr>
          <w:rFonts w:hint="eastAsia"/>
          <w:color w:val="auto"/>
          <w:sz w:val="28"/>
          <w:szCs w:val="28"/>
          <w:u w:val="none"/>
          <w:lang w:val="en-US" w:eastAsia="zh-CN"/>
        </w:rPr>
        <w:t>如下图所示。</w:t>
      </w:r>
    </w:p>
    <w:p>
      <w:pPr>
        <w:numPr>
          <w:ilvl w:val="0"/>
          <w:numId w:val="0"/>
        </w:num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175000" cy="2536825"/>
            <wp:effectExtent l="0" t="0" r="6350" b="15875"/>
            <wp:docPr id="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pStyle w:val="4"/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首页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用户登录成功后进入系统首页，首页显示的功能模块有：集运中心、转运中心、账户管理、消息中心、会员服务，点击以上功能模块进行相应的功能操作。</w:t>
      </w:r>
    </w:p>
    <w:p>
      <w:pPr>
        <w:numPr>
          <w:ilvl w:val="0"/>
          <w:numId w:val="0"/>
        </w:num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如下图所示。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61610" cy="2649855"/>
            <wp:effectExtent l="0" t="0" r="15240" b="17145"/>
            <wp:docPr id="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一、预报包裹"/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集运中心</w:t>
      </w:r>
    </w:p>
    <w:bookmarkEnd w:id="0"/>
    <w:p>
      <w:pPr>
        <w:ind w:firstLine="560" w:firstLineChars="200"/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用户点击页面</w:t>
      </w:r>
      <w:r>
        <w:drawing>
          <wp:inline distT="0" distB="0" distL="114300" distR="114300">
            <wp:extent cx="784860" cy="257810"/>
            <wp:effectExtent l="0" t="0" r="15240" b="8890"/>
            <wp:docPr id="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下任一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按钮进入此模块的页面，页面上显示的是</w:t>
      </w:r>
      <w:r>
        <w:rPr>
          <w:rFonts w:hint="eastAsia" w:ascii="宋体" w:hAnsi="宋体" w:cs="宋体"/>
          <w:sz w:val="28"/>
          <w:szCs w:val="28"/>
          <w:lang w:val="en-US" w:eastAsia="zh-CN"/>
        </w:rPr>
        <w:t>集运中心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分类有：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申请预报、我的包裹、包裹认领、我的订单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等分类。点击以上分类查看功能详情。</w:t>
      </w:r>
    </w:p>
    <w:p>
      <w:pPr>
        <w:ind w:firstLine="560" w:firstLineChars="20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如下图所示：</w:t>
      </w:r>
    </w:p>
    <w:p>
      <w:pPr>
        <w:jc w:val="both"/>
      </w:pPr>
      <w:r>
        <w:drawing>
          <wp:inline distT="0" distB="0" distL="114300" distR="114300">
            <wp:extent cx="5259070" cy="1742440"/>
            <wp:effectExtent l="0" t="0" r="17780" b="10160"/>
            <wp:docPr id="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Style w:val="12"/>
          <w:rFonts w:hint="eastAsia"/>
          <w:lang w:val="en-US" w:eastAsia="zh-CN"/>
        </w:rPr>
        <w:t>申请预报</w:t>
      </w:r>
      <w:r>
        <w:rPr>
          <w:rFonts w:hint="eastAsia"/>
          <w:sz w:val="28"/>
          <w:szCs w:val="28"/>
          <w:lang w:val="en-US" w:eastAsia="zh-CN"/>
        </w:rPr>
        <w:t>：</w:t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用户点击页面上的</w:t>
      </w:r>
      <w:r>
        <w:drawing>
          <wp:inline distT="0" distB="0" distL="114300" distR="114300">
            <wp:extent cx="709930" cy="236855"/>
            <wp:effectExtent l="0" t="0" r="13970" b="10795"/>
            <wp:docPr id="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按钮进入此页面，页面上显示的是预报包裹的相关详情，用户可点击页面上的</w:t>
      </w:r>
      <w:r>
        <w:drawing>
          <wp:inline distT="0" distB="0" distL="114300" distR="114300">
            <wp:extent cx="511175" cy="219710"/>
            <wp:effectExtent l="0" t="0" r="3175" b="8890"/>
            <wp:docPr id="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来预报单个或多个包裹。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把表单内的信息都填写，快递公司、快递单号、货物名称、货物类型、数量、价值等，包裹填写完毕后，点击</w:t>
      </w:r>
      <w:r>
        <w:rPr>
          <w:sz w:val="28"/>
          <w:szCs w:val="28"/>
        </w:rPr>
        <w:drawing>
          <wp:inline distT="0" distB="0" distL="114300" distR="114300">
            <wp:extent cx="652780" cy="241300"/>
            <wp:effectExtent l="0" t="0" r="13970" b="6350"/>
            <wp:docPr id="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按钮，就可以完成包裹预报。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如有多个包裹可点击</w:t>
      </w:r>
      <w:r>
        <w:rPr>
          <w:sz w:val="28"/>
          <w:szCs w:val="28"/>
        </w:rPr>
        <w:drawing>
          <wp:inline distT="0" distB="0" distL="114300" distR="114300">
            <wp:extent cx="368300" cy="218440"/>
            <wp:effectExtent l="0" t="0" r="12700" b="10160"/>
            <wp:docPr id="7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，继续添加包裹信息后再点击：“确定提交”</w:t>
      </w:r>
    </w:p>
    <w:p>
      <w:pPr>
        <w:numPr>
          <w:ilvl w:val="0"/>
          <w:numId w:val="0"/>
        </w:num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如下图所示：</w:t>
      </w:r>
    </w:p>
    <w:p>
      <w:pPr>
        <w:numPr>
          <w:ilvl w:val="0"/>
          <w:numId w:val="0"/>
        </w:num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450715" cy="1891665"/>
            <wp:effectExtent l="0" t="0" r="698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转运中心</w:t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用户点击页面</w:t>
      </w:r>
      <w:r>
        <w:drawing>
          <wp:inline distT="0" distB="0" distL="114300" distR="114300">
            <wp:extent cx="962660" cy="270510"/>
            <wp:effectExtent l="0" t="0" r="8890" b="15240"/>
            <wp:docPr id="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下任一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按钮进入此模块的页面，页面上显示的是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转运中心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分类有：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转运列表、转运订单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等分类。点击以上分类查看功能详情。</w:t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如下图所示：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394200" cy="2322830"/>
            <wp:effectExtent l="0" t="0" r="6350" b="1270"/>
            <wp:docPr id="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转运列表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用户点击页面上的</w:t>
      </w:r>
      <w:r>
        <w:drawing>
          <wp:inline distT="0" distB="0" distL="114300" distR="114300">
            <wp:extent cx="542290" cy="240030"/>
            <wp:effectExtent l="0" t="0" r="10160" b="7620"/>
            <wp:docPr id="9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按钮进入此页面，页面上显示的是转运订单的相关详情，用户可点击页面上的</w:t>
      </w:r>
      <w:r>
        <w:drawing>
          <wp:inline distT="0" distB="0" distL="114300" distR="114300">
            <wp:extent cx="2134235" cy="179705"/>
            <wp:effectExtent l="0" t="0" r="18415" b="10795"/>
            <wp:docPr id="9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来查看各个功能下的相关包裹信息。</w:t>
      </w:r>
    </w:p>
    <w:p>
      <w:pPr>
        <w:ind w:firstLine="560" w:firstLineChars="200"/>
        <w:jc w:val="both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如下图所示：</w:t>
      </w:r>
    </w:p>
    <w:p>
      <w:pPr>
        <w:numPr>
          <w:ilvl w:val="0"/>
          <w:numId w:val="0"/>
        </w:numPr>
        <w:ind w:firstLine="420" w:firstLineChars="200"/>
        <w:rPr>
          <w:sz w:val="28"/>
          <w:szCs w:val="28"/>
        </w:rPr>
      </w:pPr>
      <w:r>
        <w:drawing>
          <wp:inline distT="0" distB="0" distL="114300" distR="114300">
            <wp:extent cx="5273040" cy="1899920"/>
            <wp:effectExtent l="0" t="0" r="3810" b="5080"/>
            <wp:docPr id="9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账户管理</w:t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用户点击页面</w:t>
      </w:r>
      <w:r>
        <w:drawing>
          <wp:inline distT="0" distB="0" distL="114300" distR="114300">
            <wp:extent cx="576580" cy="154305"/>
            <wp:effectExtent l="0" t="0" r="13970" b="17145"/>
            <wp:docPr id="9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下任一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按钮进入此模块的页面，页面上显示的是账户管理分类有：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个人信息、常用地址、自提点、修改密码、台湾件实名认证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等分类。点击以上分类查看功能详情。</w:t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如下图所示：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58435" cy="2098675"/>
            <wp:effectExtent l="0" t="0" r="18415" b="15875"/>
            <wp:docPr id="10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常用地址</w:t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用户点击页面上的</w:t>
      </w:r>
      <w:r>
        <w:drawing>
          <wp:inline distT="0" distB="0" distL="114300" distR="114300">
            <wp:extent cx="530225" cy="210820"/>
            <wp:effectExtent l="0" t="0" r="3175" b="17780"/>
            <wp:docPr id="10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按钮进入此页面，页面上显示的是收货地址的相关信息，用户可点击页面上的</w:t>
      </w:r>
      <w:r>
        <w:drawing>
          <wp:inline distT="0" distB="0" distL="114300" distR="114300">
            <wp:extent cx="952500" cy="209550"/>
            <wp:effectExtent l="0" t="0" r="0" b="0"/>
            <wp:docPr id="10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来添加自己的收货地址。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如下图所示：</w:t>
      </w:r>
    </w:p>
    <w:p>
      <w:pPr>
        <w:numPr>
          <w:ilvl w:val="0"/>
          <w:numId w:val="0"/>
        </w:numPr>
        <w:ind w:leftChars="0" w:firstLine="420" w:firstLineChars="200"/>
      </w:pPr>
      <w:r>
        <w:drawing>
          <wp:inline distT="0" distB="0" distL="114300" distR="114300">
            <wp:extent cx="5260340" cy="2282190"/>
            <wp:effectExtent l="0" t="0" r="16510" b="3810"/>
            <wp:docPr id="10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drawing>
          <wp:inline distT="0" distB="0" distL="114300" distR="114300">
            <wp:extent cx="952500" cy="209550"/>
            <wp:effectExtent l="0" t="0" r="0" b="0"/>
            <wp:docPr id="10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来到添加地址页面，用户把收货目的地，选填后，填入详细地址、联系人、手机、身份证/统编、邮编等信息后，点击</w:t>
      </w:r>
      <w:r>
        <w:drawing>
          <wp:inline distT="0" distB="0" distL="114300" distR="114300">
            <wp:extent cx="637540" cy="260985"/>
            <wp:effectExtent l="0" t="0" r="10160" b="5715"/>
            <wp:docPr id="10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即可。</w:t>
      </w:r>
    </w:p>
    <w:p>
      <w:pPr>
        <w:numPr>
          <w:ilvl w:val="0"/>
          <w:numId w:val="0"/>
        </w:numPr>
        <w:ind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如下图所示：</w:t>
      </w:r>
    </w:p>
    <w:p>
      <w:pPr>
        <w:numPr>
          <w:ilvl w:val="0"/>
          <w:numId w:val="0"/>
        </w:numPr>
        <w:ind w:firstLine="420" w:firstLineChars="200"/>
        <w:rPr>
          <w:sz w:val="28"/>
          <w:szCs w:val="28"/>
        </w:rPr>
      </w:pPr>
      <w:r>
        <w:drawing>
          <wp:inline distT="0" distB="0" distL="114300" distR="114300">
            <wp:extent cx="4871085" cy="3020060"/>
            <wp:effectExtent l="0" t="0" r="5715" b="8890"/>
            <wp:docPr id="10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消息中心</w:t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用户点击页面</w:t>
      </w:r>
      <w:r>
        <w:drawing>
          <wp:inline distT="0" distB="0" distL="114300" distR="114300">
            <wp:extent cx="795655" cy="235585"/>
            <wp:effectExtent l="0" t="0" r="4445" b="12065"/>
            <wp:docPr id="11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下任一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按钮进入此模块的页面，页面上显示的是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消息中心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分类有：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在线充值、会员公告、消费流水、我的集运豆、优惠券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等分类。点击以上分类查看功能详情。</w:t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如下图所示：</w:t>
      </w:r>
    </w:p>
    <w:p>
      <w:pPr>
        <w:numPr>
          <w:ilvl w:val="0"/>
          <w:numId w:val="0"/>
        </w:numPr>
        <w:ind w:firstLine="420" w:firstLineChars="200"/>
        <w:rPr>
          <w:sz w:val="28"/>
          <w:szCs w:val="28"/>
        </w:rPr>
      </w:pPr>
      <w:r>
        <w:drawing>
          <wp:inline distT="0" distB="0" distL="114300" distR="114300">
            <wp:extent cx="4540885" cy="2211070"/>
            <wp:effectExtent l="0" t="0" r="12065" b="17780"/>
            <wp:docPr id="1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在线充值</w:t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用户点击页面上的</w:t>
      </w:r>
      <w:r>
        <w:drawing>
          <wp:inline distT="0" distB="0" distL="114300" distR="114300">
            <wp:extent cx="581025" cy="209550"/>
            <wp:effectExtent l="0" t="0" r="9525" b="0"/>
            <wp:docPr id="11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按钮进入此页面，页面上显示的是用户充值的相关方式，用户可点击页面上的任一方式来充值账号余额。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如下图所示：</w:t>
      </w:r>
    </w:p>
    <w:p>
      <w:pPr>
        <w:numPr>
          <w:ilvl w:val="0"/>
          <w:numId w:val="0"/>
        </w:numPr>
        <w:ind w:firstLine="420" w:firstLineChars="200"/>
        <w:rPr>
          <w:sz w:val="28"/>
          <w:szCs w:val="28"/>
        </w:rPr>
      </w:pPr>
      <w:r>
        <w:drawing>
          <wp:inline distT="0" distB="0" distL="114300" distR="114300">
            <wp:extent cx="3321050" cy="2061845"/>
            <wp:effectExtent l="0" t="0" r="12700" b="14605"/>
            <wp:docPr id="11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0" w:firstLineChars="200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用户如选择淘宝支付，选择页面上的</w:t>
      </w:r>
      <w:r>
        <w:drawing>
          <wp:inline distT="0" distB="0" distL="114300" distR="114300">
            <wp:extent cx="746125" cy="172720"/>
            <wp:effectExtent l="0" t="0" r="15875" b="17780"/>
            <wp:docPr id="11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</w:t>
      </w:r>
      <w:r>
        <w:drawing>
          <wp:inline distT="0" distB="0" distL="114300" distR="114300">
            <wp:extent cx="646430" cy="268605"/>
            <wp:effectExtent l="0" t="0" r="1270" b="17145"/>
            <wp:docPr id="11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页面跳到淘宝订单付款页面。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如下图所示：</w:t>
      </w:r>
    </w:p>
    <w:p>
      <w:pPr>
        <w:numPr>
          <w:ilvl w:val="0"/>
          <w:numId w:val="0"/>
        </w:numPr>
        <w:ind w:leftChars="0"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142490"/>
            <wp:effectExtent l="0" t="0" r="2540" b="10160"/>
            <wp:docPr id="11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用户点击</w:t>
      </w:r>
      <w:r>
        <w:drawing>
          <wp:inline distT="0" distB="0" distL="114300" distR="114300">
            <wp:extent cx="678815" cy="230505"/>
            <wp:effectExtent l="0" t="0" r="6985" b="17145"/>
            <wp:docPr id="11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到淘宝店铺购买相应宝贝，购买后返回，在</w:t>
      </w:r>
      <w:r>
        <w:drawing>
          <wp:inline distT="0" distB="0" distL="114300" distR="114300">
            <wp:extent cx="638810" cy="217170"/>
            <wp:effectExtent l="0" t="0" r="8890" b="11430"/>
            <wp:docPr id="12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处填写订单编号和相应的转账金额。</w:t>
      </w:r>
    </w:p>
    <w:p>
      <w:pPr>
        <w:numPr>
          <w:numId w:val="0"/>
        </w:numPr>
        <w:ind w:left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如下图所示：</w:t>
      </w:r>
    </w:p>
    <w:p>
      <w:pPr>
        <w:numPr>
          <w:ilvl w:val="0"/>
          <w:numId w:val="0"/>
        </w:numPr>
        <w:ind w:leftChars="0" w:firstLine="560" w:firstLineChars="20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7325" cy="2345690"/>
            <wp:effectExtent l="0" t="0" r="9525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bidi w:val="0"/>
        <w:rPr>
          <w:rFonts w:hint="eastAsia"/>
          <w:sz w:val="28"/>
          <w:szCs w:val="28"/>
          <w:lang w:val="en-US" w:eastAsia="zh-CN"/>
        </w:rPr>
      </w:pPr>
      <w:bookmarkStart w:id="1" w:name="_消费流水"/>
      <w:r>
        <w:rPr>
          <w:rFonts w:hint="eastAsia"/>
          <w:sz w:val="28"/>
          <w:szCs w:val="28"/>
          <w:lang w:val="en-US" w:eastAsia="zh-CN"/>
        </w:rPr>
        <w:t>会员服务</w:t>
      </w:r>
    </w:p>
    <w:p>
      <w:pPr>
        <w:ind w:firstLine="560" w:firstLineChars="200"/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用户点击页面</w:t>
      </w:r>
      <w:r>
        <w:drawing>
          <wp:inline distT="0" distB="0" distL="114300" distR="114300">
            <wp:extent cx="719455" cy="220980"/>
            <wp:effectExtent l="0" t="0" r="4445" b="7620"/>
            <wp:docPr id="12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下任一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按钮进入此模块的页面，页面上显示的是会员服务分类有：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推魔鏈接、有問必答、倉庫地址、會員等級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等分类。点击以上分类查看功能详情。</w:t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如下图所示：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658745"/>
            <wp:effectExtent l="0" t="0" r="13335" b="8255"/>
            <wp:docPr id="12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用户点击页面上的</w:t>
      </w:r>
      <w:r>
        <w:drawing>
          <wp:inline distT="0" distB="0" distL="114300" distR="114300">
            <wp:extent cx="526415" cy="215265"/>
            <wp:effectExtent l="0" t="0" r="6985" b="13335"/>
            <wp:docPr id="12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按钮进入此页面，页面上显示的是用户推广的相关方式，用户可点击页面上的任一方式来推广系统，以获得奖励。</w:t>
      </w:r>
    </w:p>
    <w:p>
      <w:pPr>
        <w:ind w:firstLine="560" w:firstLineChars="200"/>
        <w:jc w:val="both"/>
        <w:rPr>
          <w:rFonts w:hint="eastAsia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如下图所示：</w:t>
      </w:r>
    </w:p>
    <w:p>
      <w:pPr>
        <w:numPr>
          <w:ilvl w:val="0"/>
          <w:numId w:val="0"/>
        </w:numPr>
        <w:ind w:leftChars="0" w:firstLine="560" w:firstLineChars="20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310380" cy="3353435"/>
            <wp:effectExtent l="0" t="0" r="13970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bookmarkStart w:id="2" w:name="_GoBack"/>
      <w:bookmarkEnd w:id="2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明思系统操作手册</w:t>
    </w:r>
  </w:p>
  <w:p>
    <w:pPr>
      <w:pStyle w:val="5"/>
      <w:rPr>
        <w:rFonts w:hint="default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b3G8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Sb3G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rFonts w:hint="default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4" name="文本框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m7fHszAgAAYwQAAA4AAABkcnMvZTJvRG9jLnhtbK1UzY7TMBC+I/EO&#10;lu80aYGlqp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37yi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m7fH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>明思系统操作手册v1.0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3C4E35"/>
    <w:rsid w:val="01C6689F"/>
    <w:rsid w:val="074C4184"/>
    <w:rsid w:val="0DD7443D"/>
    <w:rsid w:val="1839112B"/>
    <w:rsid w:val="31C8580C"/>
    <w:rsid w:val="437675A6"/>
    <w:rsid w:val="4C485476"/>
    <w:rsid w:val="55FA0ACE"/>
    <w:rsid w:val="5FCA025B"/>
    <w:rsid w:val="67051633"/>
    <w:rsid w:val="703C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2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标题 1 Char"/>
    <w:link w:val="2"/>
    <w:uiPriority w:val="0"/>
    <w:rPr>
      <w:b/>
      <w:kern w:val="44"/>
      <w:sz w:val="44"/>
    </w:rPr>
  </w:style>
  <w:style w:type="character" w:customStyle="1" w:styleId="12">
    <w:name w:val="标题 3 Char"/>
    <w:link w:val="4"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2021-03-06T02:04:00Z</dcterms:created>
  <dc:creator>忘了</dc:creator>
  <cp:lastModifiedBy>冲啊！</cp:lastModifiedBy>
  <dcterms:modified xsi:type="dcterms:W3CDTF">2021-11-05T02:38:17Z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27D7A4996F134CD7A1F101D175B8FF6A</vt:lpwstr>
  </property>
</Properties>
</file>